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5850F6" w:rsidRDefault="00281E17" w:rsidP="00281E17">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2914D6" w:rsidRDefault="002914D6">
            <w:pPr>
              <w:rPr>
                <w:rFonts w:ascii="Arial" w:hAnsi="Arial"/>
                <w:b/>
                <w:bCs/>
                <w:noProof w:val="0"/>
                <w:sz w:val="26"/>
                <w:szCs w:val="26"/>
              </w:rPr>
            </w:pPr>
          </w:p>
          <w:p w:rsidR="002914D6" w:rsidRPr="00CE7C1D" w:rsidRDefault="003172E2" w:rsidP="00CE7C1D">
            <w:pPr>
              <w:pStyle w:val="ae"/>
              <w:numPr>
                <w:ilvl w:val="0"/>
                <w:numId w:val="1"/>
              </w:numPr>
              <w:rPr>
                <w:rFonts w:cs="David"/>
                <w:b/>
                <w:bCs/>
                <w:sz w:val="26"/>
                <w:szCs w:val="26"/>
                <w:rtl/>
              </w:rPr>
            </w:pPr>
            <w:sdt>
              <w:sdtPr>
                <w:rPr>
                  <w:rFonts w:cs="David"/>
                  <w:b/>
                  <w:bCs/>
                  <w:sz w:val="26"/>
                  <w:szCs w:val="26"/>
                  <w:rtl/>
                </w:rPr>
                <w:alias w:val="1478"/>
                <w:tag w:val="1478"/>
                <w:id w:val="-2019765730"/>
                <w:text w:multiLine="1"/>
              </w:sdtPr>
              <w:sdtEndPr/>
              <w:sdtContent>
                <w:r w:rsidR="00CC29C2" w:rsidRPr="00CE7C1D">
                  <w:rPr>
                    <w:rFonts w:cs="David"/>
                    <w:b/>
                    <w:bCs/>
                    <w:sz w:val="26"/>
                    <w:szCs w:val="26"/>
                    <w:rtl/>
                  </w:rPr>
                  <w:t>ד</w:t>
                </w:r>
                <w:r w:rsidR="00CE7C1D" w:rsidRPr="00CE7C1D">
                  <w:rPr>
                    <w:rFonts w:cs="David"/>
                    <w:b/>
                    <w:bCs/>
                    <w:sz w:val="26"/>
                    <w:szCs w:val="26"/>
                    <w:rtl/>
                  </w:rPr>
                  <w:t>.</w:t>
                </w:r>
              </w:sdtContent>
            </w:sdt>
            <w:r w:rsidR="00011212" w:rsidRPr="00CE7C1D">
              <w:rPr>
                <w:rFonts w:cs="David"/>
                <w:b/>
                <w:bCs/>
                <w:sz w:val="26"/>
                <w:szCs w:val="26"/>
                <w:rtl/>
              </w:rPr>
              <w:t xml:space="preserve"> </w:t>
            </w:r>
          </w:p>
          <w:p w:rsidR="00CE7C1D" w:rsidRPr="00CE7C1D" w:rsidRDefault="00CE7C1D" w:rsidP="00CE7C1D">
            <w:pPr>
              <w:pStyle w:val="ae"/>
              <w:numPr>
                <w:ilvl w:val="0"/>
                <w:numId w:val="1"/>
              </w:numPr>
              <w:rPr>
                <w:b/>
                <w:bCs/>
                <w:sz w:val="26"/>
                <w:szCs w:val="26"/>
              </w:rPr>
            </w:pPr>
            <w:r w:rsidRPr="00CE7C1D">
              <w:rPr>
                <w:rFonts w:cs="David"/>
                <w:b/>
                <w:bCs/>
                <w:sz w:val="26"/>
                <w:szCs w:val="26"/>
                <w:rtl/>
              </w:rPr>
              <w:t>ע"י ב"כ עו"ד מוטי אסרף</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3172E2" w:rsidP="00281E17">
            <w:pPr>
              <w:rPr>
                <w:rFonts w:ascii="Arial" w:hAnsi="Arial"/>
                <w:b/>
                <w:bCs/>
                <w:noProof w:val="0"/>
                <w:sz w:val="26"/>
                <w:szCs w:val="26"/>
              </w:rPr>
            </w:pPr>
            <w:sdt>
              <w:sdtPr>
                <w:rPr>
                  <w:rtl/>
                </w:rPr>
                <w:alias w:val="1184"/>
                <w:tag w:val="1184"/>
                <w:id w:val="385841288"/>
                <w:text w:multiLine="1"/>
              </w:sdtPr>
              <w:sdtEndPr/>
              <w:sdtContent>
                <w:r w:rsidR="00281E17">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3172E2" w:rsidP="00CE7C1D">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י</w:t>
                </w:r>
                <w:r w:rsidR="00CE7C1D">
                  <w:rPr>
                    <w:rFonts w:ascii="Arial" w:hAnsi="Arial" w:hint="cs"/>
                    <w:b/>
                    <w:bCs/>
                    <w:noProof w:val="0"/>
                    <w:sz w:val="26"/>
                    <w:szCs w:val="26"/>
                    <w:rtl/>
                  </w:rPr>
                  <w:t>.</w:t>
                </w:r>
                <w:r w:rsidR="00CC29C2">
                  <w:rPr>
                    <w:rFonts w:ascii="Arial" w:hAnsi="Arial"/>
                    <w:b/>
                    <w:bCs/>
                    <w:noProof w:val="0"/>
                    <w:sz w:val="26"/>
                    <w:szCs w:val="26"/>
                    <w:rtl/>
                  </w:rPr>
                  <w:t xml:space="preserve"> ד</w:t>
                </w:r>
                <w:r w:rsidR="00CE7C1D">
                  <w:rPr>
                    <w:rFonts w:ascii="Arial" w:hAnsi="Arial" w:hint="cs"/>
                    <w:b/>
                    <w:bCs/>
                    <w:noProof w:val="0"/>
                    <w:sz w:val="26"/>
                    <w:szCs w:val="26"/>
                    <w:rtl/>
                  </w:rPr>
                  <w:t>.</w:t>
                </w:r>
              </w:sdtContent>
            </w:sdt>
            <w:r w:rsidR="00011212">
              <w:rPr>
                <w:rFonts w:ascii="Arial" w:hAnsi="Arial" w:hint="cs"/>
                <w:b/>
                <w:bCs/>
                <w:noProof w:val="0"/>
                <w:sz w:val="26"/>
                <w:szCs w:val="26"/>
                <w:rtl/>
              </w:rPr>
              <w:t xml:space="preserve"> </w:t>
            </w:r>
          </w:p>
          <w:p w:rsidR="00CE7C1D" w:rsidRDefault="00CE7C1D" w:rsidP="00CE7C1D">
            <w:pPr>
              <w:rPr>
                <w:b/>
                <w:bCs/>
                <w:noProof w:val="0"/>
                <w:sz w:val="26"/>
                <w:szCs w:val="26"/>
                <w:rtl/>
              </w:rPr>
            </w:pPr>
            <w:r>
              <w:rPr>
                <w:rFonts w:hint="cs"/>
                <w:b/>
                <w:bCs/>
                <w:noProof w:val="0"/>
                <w:sz w:val="26"/>
                <w:szCs w:val="26"/>
                <w:rtl/>
              </w:rPr>
              <w:t>ע"י ב"כ עו"ד ג'ימי שטרן</w:t>
            </w:r>
          </w:p>
        </w:tc>
      </w:tr>
      <w:tr w:rsidR="00DA714E" w:rsidTr="00020144">
        <w:tc>
          <w:tcPr>
            <w:tcW w:w="8820" w:type="dxa"/>
            <w:gridSpan w:val="3"/>
          </w:tcPr>
          <w:p w:rsidR="005850F6" w:rsidRDefault="005850F6">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281E17">
        <w:trPr>
          <w:jc w:val="center"/>
        </w:trPr>
        <w:tc>
          <w:tcPr>
            <w:tcW w:w="8820" w:type="dxa"/>
          </w:tcPr>
          <w:p w:rsidR="002914D6" w:rsidRPr="00281E17" w:rsidRDefault="002914D6">
            <w:pPr>
              <w:bidi w:val="0"/>
              <w:jc w:val="center"/>
              <w:rPr>
                <w:rFonts w:ascii="Arial" w:hAnsi="Arial"/>
                <w:b/>
                <w:bCs/>
                <w:i/>
                <w:iCs/>
                <w:noProof w:val="0"/>
                <w:sz w:val="36"/>
                <w:szCs w:val="36"/>
              </w:rPr>
            </w:pPr>
          </w:p>
          <w:p w:rsidR="002914D6" w:rsidRPr="00281E17" w:rsidRDefault="00530E94">
            <w:pPr>
              <w:bidi w:val="0"/>
              <w:jc w:val="center"/>
              <w:rPr>
                <w:rFonts w:ascii="Arial" w:hAnsi="Arial"/>
                <w:b/>
                <w:bCs/>
                <w:i/>
                <w:iCs/>
                <w:noProof w:val="0"/>
                <w:sz w:val="36"/>
                <w:szCs w:val="36"/>
                <w:u w:val="single"/>
              </w:rPr>
            </w:pPr>
            <w:r w:rsidRPr="00281E17">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281E17" w:rsidRDefault="00281E17" w:rsidP="00281E17">
      <w:pPr>
        <w:spacing w:line="360" w:lineRule="auto"/>
        <w:jc w:val="both"/>
        <w:rPr>
          <w:noProof w:val="0"/>
        </w:rPr>
      </w:pPr>
      <w:r>
        <w:rPr>
          <w:rFonts w:hint="cs"/>
          <w:rtl/>
        </w:rPr>
        <w:t>לפניי בקשה דחופה להפחתת מזונות זמניים (להלן: "</w:t>
      </w:r>
      <w:r>
        <w:rPr>
          <w:rFonts w:hint="cs"/>
          <w:b/>
          <w:bCs/>
          <w:rtl/>
        </w:rPr>
        <w:t>הבקשה</w:t>
      </w:r>
      <w:r>
        <w:rPr>
          <w:rFonts w:hint="cs"/>
          <w:rtl/>
        </w:rPr>
        <w:t>"), אשר נפסקו בבית הדין הרבני (להלן: "</w:t>
      </w:r>
      <w:r>
        <w:rPr>
          <w:rFonts w:hint="cs"/>
          <w:b/>
          <w:bCs/>
          <w:rtl/>
        </w:rPr>
        <w:t>בית הדין</w:t>
      </w:r>
      <w:r>
        <w:rPr>
          <w:rFonts w:hint="cs"/>
          <w:rtl/>
        </w:rPr>
        <w:t>") בסך של 5,300 ₪ לחודש בעבור  ארבעת ילדיהם המשותפים של הצדדים.</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הבקשה הוגשה במסגרת תביעתו של המבקש לקביעת מזונות קטינים.</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הליך זה נפתח בחודש פברואר 2023, אולם בירורו התעכב, בין היתר, בהסכמת הצדדים, בשל הליכים משפטיים שהתנהלו וטרם נסתיימו בבית הדין.</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המשיבה מתנגדת לבקשה, כפי שפורט בתגובתה. טענתה המרכזית היא כי המבקש לא פירט את המידע נחוץ לבירור הבקשה, לרבות צרכי הקטינים, ולא צירף אסמכתאות רלוונטיות, כגון תלושי השכר ודפי חשבון בנק.</w:t>
      </w:r>
    </w:p>
    <w:p w:rsidR="00281E17" w:rsidRDefault="00281E17" w:rsidP="00281E17">
      <w:pPr>
        <w:spacing w:line="360" w:lineRule="auto"/>
        <w:jc w:val="both"/>
        <w:rPr>
          <w:rtl/>
        </w:rPr>
      </w:pPr>
    </w:p>
    <w:p w:rsidR="00281E17" w:rsidRDefault="00281E17" w:rsidP="00281E17">
      <w:pPr>
        <w:spacing w:line="360" w:lineRule="auto"/>
        <w:jc w:val="both"/>
        <w:rPr>
          <w:b/>
          <w:bCs/>
          <w:u w:val="single"/>
          <w:rtl/>
        </w:rPr>
      </w:pPr>
      <w:r>
        <w:rPr>
          <w:rFonts w:hint="cs"/>
          <w:b/>
          <w:bCs/>
          <w:u w:val="single"/>
          <w:rtl/>
        </w:rPr>
        <w:t>הכרעה</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לאחר עיון בבקשה, הגעתי למסקנה כי דינה, כפי שהוגשה, להידחות.</w:t>
      </w:r>
    </w:p>
    <w:p w:rsidR="00281E17" w:rsidRDefault="00281E17" w:rsidP="00281E17">
      <w:pPr>
        <w:spacing w:line="360" w:lineRule="auto"/>
        <w:jc w:val="both"/>
        <w:rPr>
          <w:rtl/>
        </w:rPr>
      </w:pPr>
    </w:p>
    <w:p w:rsidR="00281E17" w:rsidRDefault="00281E17" w:rsidP="00281E17">
      <w:pPr>
        <w:spacing w:line="360" w:lineRule="auto"/>
        <w:jc w:val="both"/>
        <w:rPr>
          <w:rtl/>
        </w:rPr>
      </w:pPr>
      <w:r w:rsidRPr="00281E17">
        <w:rPr>
          <w:rFonts w:hint="cs"/>
          <w:rtl/>
        </w:rPr>
        <w:t>במישור העקרוני, בית המשפט לענייני משפחה מוסמך לשנות חיוב מזונות זמניים שנפסקו עבור הקטינים בבית הדין. הלכה פסוקה היא, כפי שנקבע ב</w:t>
      </w:r>
      <w:hyperlink r:id="rId8" w:history="1">
        <w:r w:rsidRPr="00281E17">
          <w:rPr>
            <w:rStyle w:val="Hyperlink"/>
            <w:rFonts w:hint="cs"/>
            <w:color w:val="auto"/>
            <w:u w:val="none"/>
            <w:rtl/>
          </w:rPr>
          <w:t xml:space="preserve">בר"ע 120/69 </w:t>
        </w:r>
        <w:r w:rsidRPr="00281E17">
          <w:rPr>
            <w:rStyle w:val="Hyperlink"/>
            <w:rFonts w:hint="cs"/>
            <w:b/>
            <w:bCs/>
            <w:color w:val="auto"/>
            <w:u w:val="none"/>
            <w:rtl/>
          </w:rPr>
          <w:t>שרגאי נ' שרגאי</w:t>
        </w:r>
        <w:r w:rsidRPr="00281E17">
          <w:rPr>
            <w:rStyle w:val="Hyperlink"/>
            <w:rFonts w:hint="cs"/>
            <w:color w:val="auto"/>
            <w:u w:val="none"/>
            <w:rtl/>
          </w:rPr>
          <w:t>, פ"ד כג</w:t>
        </w:r>
      </w:hyperlink>
      <w:r w:rsidRPr="00281E17">
        <w:rPr>
          <w:rFonts w:hint="cs"/>
          <w:rtl/>
        </w:rPr>
        <w:t>(2) 171 (1969), כי תביעת מזונות קטינים אינה ניתנת לכריכה בתביעת גירושין שהוגשה לבית הדין הרבני, בהתאם ל</w:t>
      </w:r>
      <w:hyperlink r:id="rId9" w:history="1">
        <w:r w:rsidRPr="00281E17">
          <w:rPr>
            <w:rStyle w:val="Hyperlink"/>
            <w:rFonts w:hint="cs"/>
            <w:color w:val="auto"/>
            <w:u w:val="none"/>
            <w:rtl/>
          </w:rPr>
          <w:t>סעיף 3</w:t>
        </w:r>
      </w:hyperlink>
      <w:r w:rsidRPr="00281E17">
        <w:rPr>
          <w:rFonts w:hint="cs"/>
          <w:rtl/>
        </w:rPr>
        <w:t xml:space="preserve"> ל</w:t>
      </w:r>
      <w:hyperlink r:id="rId10" w:history="1">
        <w:r w:rsidRPr="00281E17">
          <w:rPr>
            <w:rStyle w:val="Hyperlink"/>
            <w:rFonts w:hint="cs"/>
            <w:color w:val="auto"/>
            <w:u w:val="none"/>
            <w:rtl/>
          </w:rPr>
          <w:t>חוק שיפוט בתי דין רבניים (נישואין וגירושין)</w:t>
        </w:r>
      </w:hyperlink>
      <w:r w:rsidRPr="00281E17">
        <w:rPr>
          <w:rFonts w:hint="cs"/>
          <w:rtl/>
        </w:rPr>
        <w:t xml:space="preserve">, התשי"ג–1953. </w:t>
      </w:r>
    </w:p>
    <w:p w:rsidR="00281E17" w:rsidRDefault="00281E17" w:rsidP="00281E17">
      <w:pPr>
        <w:spacing w:line="360" w:lineRule="auto"/>
        <w:jc w:val="both"/>
        <w:rPr>
          <w:rtl/>
        </w:rPr>
      </w:pPr>
      <w:r w:rsidRPr="00281E17">
        <w:rPr>
          <w:rFonts w:hint="cs"/>
          <w:rtl/>
        </w:rPr>
        <w:lastRenderedPageBreak/>
        <w:t xml:space="preserve">הלכה זו שרירה וקיימת גם בימים אלו, </w:t>
      </w:r>
      <w:r w:rsidRPr="00281E17">
        <w:rPr>
          <w:rFonts w:hint="cs"/>
          <w:b/>
          <w:bCs/>
          <w:rtl/>
        </w:rPr>
        <w:t>ראו</w:t>
      </w:r>
      <w:r w:rsidRPr="00281E17">
        <w:rPr>
          <w:rFonts w:hint="cs"/>
          <w:rtl/>
        </w:rPr>
        <w:t xml:space="preserve">: </w:t>
      </w:r>
      <w:hyperlink r:id="rId11" w:history="1">
        <w:r w:rsidRPr="00281E17">
          <w:rPr>
            <w:rStyle w:val="Hyperlink"/>
            <w:rFonts w:hint="cs"/>
            <w:color w:val="auto"/>
            <w:u w:val="none"/>
            <w:rtl/>
          </w:rPr>
          <w:t>בע"מ 7628/17</w:t>
        </w:r>
      </w:hyperlink>
      <w:r w:rsidRPr="00281E17">
        <w:rPr>
          <w:rtl/>
        </w:rPr>
        <w:t xml:space="preserve"> </w:t>
      </w:r>
      <w:r w:rsidRPr="00281E17">
        <w:rPr>
          <w:rFonts w:hint="cs"/>
          <w:b/>
          <w:bCs/>
          <w:rtl/>
        </w:rPr>
        <w:t>פלוני נ' פלונית</w:t>
      </w:r>
      <w:r w:rsidRPr="00281E17">
        <w:rPr>
          <w:rFonts w:hint="cs"/>
          <w:rtl/>
        </w:rPr>
        <w:t xml:space="preserve"> (22.9.2019); דנ"א </w:t>
      </w:r>
      <w:r>
        <w:rPr>
          <w:rFonts w:hint="cs"/>
          <w:rtl/>
        </w:rPr>
        <w:t xml:space="preserve">6669/19 </w:t>
      </w:r>
      <w:r>
        <w:rPr>
          <w:rFonts w:hint="cs"/>
          <w:b/>
          <w:bCs/>
          <w:rtl/>
        </w:rPr>
        <w:t>פלונית נ' פלוני</w:t>
      </w:r>
      <w:r>
        <w:rPr>
          <w:rFonts w:hint="cs"/>
          <w:rtl/>
        </w:rPr>
        <w:t xml:space="preserve"> (26.12.19).</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 xml:space="preserve">במילים אחרות, בהעדר הסכמה לכרוך את שאלת מזונות ילדי בני הזוג בתביעת גירושין המוגשת לבית דין רבני, הסמכות לדון במזונותיהם מסורה לבית המשפט לענייני משפחה, </w:t>
      </w:r>
      <w:r>
        <w:rPr>
          <w:rFonts w:hint="cs"/>
          <w:b/>
          <w:bCs/>
          <w:rtl/>
        </w:rPr>
        <w:t>ראו</w:t>
      </w:r>
      <w:r>
        <w:rPr>
          <w:rFonts w:hint="cs"/>
          <w:rtl/>
        </w:rPr>
        <w:t xml:space="preserve">: עמ"ש 62314-05-23 </w:t>
      </w:r>
      <w:r>
        <w:rPr>
          <w:rFonts w:hint="cs"/>
          <w:b/>
          <w:bCs/>
          <w:rtl/>
        </w:rPr>
        <w:t xml:space="preserve">ב' נ' ב' </w:t>
      </w:r>
      <w:r>
        <w:rPr>
          <w:rFonts w:hint="cs"/>
          <w:rtl/>
        </w:rPr>
        <w:t>(6.2.2024). יתרה מכך, בית המשפט לענייני משפחה רשאי גם לדון בבקשה לשינוי מזונות זמניים שנפסקו בבית הדין, אף אם לא הוכח בפניו שינוי נסיבות מהותי.</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 xml:space="preserve">יחד עם זאת, על מנת לאפשר לבית המשפט לדון ולהכריע בבקשה לשינוי מזונות זמניים שנפסקו בבית הדין, נדרש ממגיש הבקשה לעמוד במספר תנאים. </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תקנה 33 (א) לתקנות בית המשפט לענייני משפחה (סדרי דין) תשפ"א – 2020 (להלן: "</w:t>
      </w:r>
      <w:r>
        <w:rPr>
          <w:rFonts w:hint="cs"/>
          <w:b/>
          <w:bCs/>
          <w:rtl/>
        </w:rPr>
        <w:t>תקנות משפחה</w:t>
      </w:r>
      <w:r>
        <w:rPr>
          <w:rFonts w:hint="cs"/>
          <w:rtl/>
        </w:rPr>
        <w:t>") קובעת כי:</w:t>
      </w:r>
    </w:p>
    <w:p w:rsidR="00281E17" w:rsidRDefault="00281E17" w:rsidP="00281E17">
      <w:pPr>
        <w:spacing w:line="360" w:lineRule="auto"/>
        <w:jc w:val="both"/>
        <w:rPr>
          <w:rtl/>
        </w:rPr>
      </w:pPr>
    </w:p>
    <w:p w:rsidR="00281E17" w:rsidRDefault="00281E17" w:rsidP="00281E17">
      <w:pPr>
        <w:spacing w:line="360" w:lineRule="auto"/>
        <w:ind w:left="509" w:right="993"/>
        <w:jc w:val="both"/>
        <w:rPr>
          <w:rtl/>
        </w:rPr>
      </w:pPr>
      <w:r>
        <w:rPr>
          <w:rFonts w:hint="cs"/>
          <w:rtl/>
        </w:rPr>
        <w:t>"</w:t>
      </w:r>
      <w:r>
        <w:rPr>
          <w:rFonts w:hint="cs"/>
          <w:b/>
          <w:bCs/>
          <w:rtl/>
        </w:rPr>
        <w:t>בעל דין שהגיש תביעה למזונות ומבקש שיפסקו לו מזונות זמניים יגיש בקשה לפסיקת מזונות זמניים (להלן בתקנה זו – הבקשה); בבקשה יפרט המבקש את טיעוניו, ויצרף תצהיר שבו יאמת את העובדות שביסוד הבקשה וכן האסמכתאות לבקשה</w:t>
      </w:r>
      <w:r>
        <w:t>."</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 xml:space="preserve">לטעמי, תקנה זו חלה, בשינויים המחויבים, גם על בקשה לשינוי מזונות זמניים. בתוך כך, על מגיש </w:t>
      </w:r>
      <w:r w:rsidRPr="00281E17">
        <w:rPr>
          <w:rFonts w:hint="cs"/>
          <w:rtl/>
        </w:rPr>
        <w:t xml:space="preserve">הבקשה לפרט בבקשתו את כלל הנתונים הרלוונטיים לשם בירורה, </w:t>
      </w:r>
      <w:r w:rsidRPr="00281E17">
        <w:rPr>
          <w:rFonts w:hint="cs"/>
          <w:b/>
          <w:bCs/>
          <w:rtl/>
        </w:rPr>
        <w:t>השוו</w:t>
      </w:r>
      <w:r w:rsidRPr="00281E17">
        <w:rPr>
          <w:rFonts w:hint="cs"/>
          <w:rtl/>
        </w:rPr>
        <w:t xml:space="preserve">: </w:t>
      </w:r>
      <w:hyperlink r:id="rId12" w:history="1">
        <w:r w:rsidRPr="00281E17">
          <w:rPr>
            <w:rStyle w:val="Hyperlink"/>
            <w:rFonts w:hint="cs"/>
            <w:color w:val="auto"/>
            <w:u w:val="none"/>
            <w:rtl/>
          </w:rPr>
          <w:t>רע"א 3121/24</w:t>
        </w:r>
      </w:hyperlink>
      <w:r w:rsidRPr="00281E17">
        <w:rPr>
          <w:rtl/>
        </w:rPr>
        <w:t xml:space="preserve"> </w:t>
      </w:r>
      <w:r w:rsidRPr="00281E17">
        <w:rPr>
          <w:rFonts w:hint="cs"/>
          <w:b/>
          <w:bCs/>
          <w:rtl/>
        </w:rPr>
        <w:t xml:space="preserve">בריגע נ' </w:t>
      </w:r>
      <w:r>
        <w:rPr>
          <w:rFonts w:hint="cs"/>
          <w:b/>
          <w:bCs/>
          <w:rtl/>
        </w:rPr>
        <w:t>קוואלטי קרדיט פאנד 2 שותפות מוגבלת</w:t>
      </w:r>
      <w:r>
        <w:rPr>
          <w:rFonts w:hint="cs"/>
          <w:rtl/>
        </w:rPr>
        <w:t xml:space="preserve"> (14.4.2024); ת"א (מחוזי ת"א) 11855-10-24</w:t>
      </w:r>
      <w:r>
        <w:rPr>
          <w:rFonts w:hint="cs"/>
          <w:b/>
          <w:bCs/>
          <w:rtl/>
        </w:rPr>
        <w:t xml:space="preserve"> שובל נ' אופן ווב טכנולוגיות בע"מ</w:t>
      </w:r>
      <w:r>
        <w:rPr>
          <w:rFonts w:hint="cs"/>
          <w:rtl/>
        </w:rPr>
        <w:t xml:space="preserve"> (12.11.2024).</w:t>
      </w:r>
    </w:p>
    <w:p w:rsidR="00281E17" w:rsidRDefault="00281E17" w:rsidP="00281E17">
      <w:pPr>
        <w:spacing w:line="360" w:lineRule="auto"/>
        <w:jc w:val="both"/>
        <w:rPr>
          <w:rtl/>
        </w:rPr>
      </w:pPr>
    </w:p>
    <w:p w:rsidR="00281E17" w:rsidRPr="00281E17" w:rsidRDefault="00281E17" w:rsidP="00281E17">
      <w:pPr>
        <w:spacing w:line="360" w:lineRule="auto"/>
        <w:jc w:val="both"/>
        <w:rPr>
          <w:rtl/>
        </w:rPr>
      </w:pPr>
      <w:r w:rsidRPr="00281E17">
        <w:rPr>
          <w:rFonts w:hint="cs"/>
          <w:rtl/>
        </w:rPr>
        <w:t>בשים לב לטענת המבקש כי גילאי כל הקטינים הינם מעל גיל 6 שנים (המבקש לא פירט את גילאי הקטינים באופן מדויק), ולאור העקרונות שנקבעו ב</w:t>
      </w:r>
      <w:hyperlink r:id="rId13" w:history="1">
        <w:r w:rsidRPr="00281E17">
          <w:rPr>
            <w:rStyle w:val="Hyperlink"/>
            <w:rFonts w:hint="cs"/>
            <w:color w:val="auto"/>
            <w:u w:val="none"/>
            <w:rtl/>
          </w:rPr>
          <w:t>בע"מ 919/15</w:t>
        </w:r>
      </w:hyperlink>
      <w:r w:rsidRPr="00281E17">
        <w:rPr>
          <w:rtl/>
        </w:rPr>
        <w:t xml:space="preserve"> </w:t>
      </w:r>
      <w:r w:rsidRPr="00281E17">
        <w:rPr>
          <w:rFonts w:hint="cs"/>
          <w:b/>
          <w:bCs/>
          <w:rtl/>
        </w:rPr>
        <w:t>פלוני נ' פלונית ואח'</w:t>
      </w:r>
      <w:r w:rsidRPr="00281E17">
        <w:rPr>
          <w:rFonts w:hint="cs"/>
          <w:rtl/>
        </w:rPr>
        <w:t xml:space="preserve"> (19.7.2017) ויישמו ב</w:t>
      </w:r>
      <w:hyperlink r:id="rId14" w:history="1">
        <w:r w:rsidRPr="00281E17">
          <w:rPr>
            <w:rStyle w:val="Hyperlink"/>
            <w:rFonts w:hint="cs"/>
            <w:color w:val="auto"/>
            <w:u w:val="none"/>
            <w:rtl/>
          </w:rPr>
          <w:t>עמ"ש  14612-10-16</w:t>
        </w:r>
      </w:hyperlink>
      <w:r w:rsidRPr="00281E17">
        <w:rPr>
          <w:rtl/>
        </w:rPr>
        <w:t xml:space="preserve"> </w:t>
      </w:r>
      <w:r w:rsidRPr="00281E17">
        <w:rPr>
          <w:rFonts w:hint="cs"/>
          <w:b/>
          <w:bCs/>
          <w:rtl/>
        </w:rPr>
        <w:t>פ.ב. נ' א.ב.</w:t>
      </w:r>
      <w:r w:rsidRPr="00281E17">
        <w:rPr>
          <w:rFonts w:hint="cs"/>
          <w:rtl/>
        </w:rPr>
        <w:t xml:space="preserve"> (20.12.2017), היה על המבקש לפרט את הנתונים הבאים:</w:t>
      </w:r>
    </w:p>
    <w:p w:rsidR="00281E17" w:rsidRDefault="00281E17" w:rsidP="00281E17">
      <w:pPr>
        <w:spacing w:line="360" w:lineRule="auto"/>
        <w:jc w:val="both"/>
        <w:rPr>
          <w:rtl/>
        </w:rPr>
      </w:pPr>
    </w:p>
    <w:p w:rsidR="00281E17" w:rsidRDefault="00281E17" w:rsidP="00281E17">
      <w:pPr>
        <w:spacing w:before="100" w:beforeAutospacing="1" w:after="240" w:line="360" w:lineRule="auto"/>
        <w:ind w:left="-57"/>
        <w:contextualSpacing/>
        <w:jc w:val="both"/>
        <w:rPr>
          <w:color w:val="000000"/>
          <w:rtl/>
        </w:rPr>
      </w:pPr>
      <w:r>
        <w:rPr>
          <w:rFonts w:hint="cs"/>
          <w:rtl/>
        </w:rPr>
        <w:t xml:space="preserve">צרכי הקטינים (לרבות צרכיו של כל קטין בנפרד) </w:t>
      </w:r>
      <w:r>
        <w:rPr>
          <w:rFonts w:hint="cs"/>
          <w:b/>
          <w:bCs/>
          <w:rtl/>
        </w:rPr>
        <w:t>ראו: תקנה 11 (א) (3) לתקנות משפחה</w:t>
      </w:r>
      <w:r>
        <w:rPr>
          <w:rFonts w:hint="cs"/>
          <w:rtl/>
        </w:rPr>
        <w:t>;</w:t>
      </w:r>
      <w:r>
        <w:rPr>
          <w:rFonts w:hint="cs"/>
          <w:color w:val="000000"/>
          <w:rtl/>
        </w:rPr>
        <w:t xml:space="preserve"> </w:t>
      </w:r>
    </w:p>
    <w:p w:rsidR="00281E17" w:rsidRDefault="00281E17" w:rsidP="00281E17">
      <w:pPr>
        <w:spacing w:before="100" w:beforeAutospacing="1" w:after="240" w:line="360" w:lineRule="auto"/>
        <w:ind w:left="-57"/>
        <w:contextualSpacing/>
        <w:jc w:val="both"/>
        <w:rPr>
          <w:rtl/>
        </w:rPr>
      </w:pPr>
      <w:r>
        <w:rPr>
          <w:rFonts w:hint="cs"/>
          <w:rtl/>
        </w:rPr>
        <w:t xml:space="preserve">היכולות הכלכליות של ההורים; </w:t>
      </w:r>
    </w:p>
    <w:p w:rsidR="00281E17" w:rsidRDefault="00281E17" w:rsidP="00281E17">
      <w:pPr>
        <w:spacing w:before="100" w:beforeAutospacing="1" w:after="240" w:line="360" w:lineRule="auto"/>
        <w:ind w:left="-57"/>
        <w:contextualSpacing/>
        <w:jc w:val="both"/>
        <w:rPr>
          <w:color w:val="000000"/>
          <w:rtl/>
        </w:rPr>
      </w:pPr>
      <w:r>
        <w:rPr>
          <w:rFonts w:hint="cs"/>
          <w:rtl/>
        </w:rPr>
        <w:t xml:space="preserve">קביעת היחסיות של היכולת הכלכלית של ההורים, האחד מול רעהו; </w:t>
      </w:r>
    </w:p>
    <w:p w:rsidR="00281E17" w:rsidRDefault="00281E17" w:rsidP="00281E17">
      <w:pPr>
        <w:spacing w:before="100" w:beforeAutospacing="1" w:after="240" w:line="360" w:lineRule="auto"/>
        <w:ind w:left="870" w:hanging="928"/>
        <w:contextualSpacing/>
        <w:jc w:val="both"/>
        <w:rPr>
          <w:color w:val="000000"/>
        </w:rPr>
      </w:pPr>
      <w:r>
        <w:rPr>
          <w:rFonts w:hint="cs"/>
          <w:rtl/>
        </w:rPr>
        <w:t>חלוקת זמני השהות בפועל.</w:t>
      </w:r>
    </w:p>
    <w:p w:rsidR="00281E17" w:rsidRDefault="00281E17" w:rsidP="00281E17">
      <w:pPr>
        <w:spacing w:line="360" w:lineRule="auto"/>
        <w:jc w:val="both"/>
      </w:pPr>
    </w:p>
    <w:p w:rsidR="00281E17" w:rsidRDefault="00281E17" w:rsidP="00281E17">
      <w:pPr>
        <w:spacing w:line="360" w:lineRule="auto"/>
        <w:jc w:val="both"/>
        <w:rPr>
          <w:rtl/>
        </w:rPr>
      </w:pPr>
      <w:r>
        <w:rPr>
          <w:rFonts w:hint="cs"/>
          <w:rtl/>
        </w:rPr>
        <w:lastRenderedPageBreak/>
        <w:t xml:space="preserve">המבקש לא פירט את צרכי הקטינים כלל. לכאורה, ניתן היה לבוא ולומר כי בית המשפט "בעמו יושב" </w:t>
      </w:r>
      <w:r w:rsidRPr="00281E17">
        <w:rPr>
          <w:rFonts w:hint="cs"/>
          <w:rtl/>
        </w:rPr>
        <w:t xml:space="preserve">והוא יכול להעריך את צרכי הקטינים על דרך אומדנה </w:t>
      </w:r>
      <w:r w:rsidRPr="00281E17">
        <w:rPr>
          <w:rFonts w:hint="cs"/>
          <w:b/>
          <w:bCs/>
          <w:rtl/>
        </w:rPr>
        <w:t>ראו</w:t>
      </w:r>
      <w:r w:rsidRPr="00281E17">
        <w:rPr>
          <w:rFonts w:hint="cs"/>
          <w:rtl/>
        </w:rPr>
        <w:t xml:space="preserve">: </w:t>
      </w:r>
      <w:hyperlink r:id="rId15" w:history="1">
        <w:r w:rsidRPr="00281E17">
          <w:rPr>
            <w:rStyle w:val="Hyperlink"/>
            <w:rFonts w:hint="cs"/>
            <w:color w:val="auto"/>
            <w:rtl/>
          </w:rPr>
          <w:t>ע"א 93/85</w:t>
        </w:r>
      </w:hyperlink>
      <w:r w:rsidRPr="00281E17">
        <w:rPr>
          <w:rtl/>
        </w:rPr>
        <w:t xml:space="preserve"> </w:t>
      </w:r>
      <w:r w:rsidRPr="00281E17">
        <w:rPr>
          <w:rFonts w:hint="cs"/>
          <w:b/>
          <w:bCs/>
          <w:rtl/>
        </w:rPr>
        <w:t>שגב נ' שגב</w:t>
      </w:r>
      <w:r w:rsidRPr="00281E17">
        <w:rPr>
          <w:rFonts w:hint="cs"/>
          <w:rtl/>
        </w:rPr>
        <w:t xml:space="preserve">, פ"ד לט(3)822, </w:t>
      </w:r>
      <w:r>
        <w:rPr>
          <w:rFonts w:hint="cs"/>
          <w:rtl/>
        </w:rPr>
        <w:t xml:space="preserve">825, 828. ואולם, המבקש לא פירט גם את חלוקת זמני השהות באופן מדויק והוא הסתפק באמירה כללית לפיה "גילאי הקטינים, זמני השהות בין הצדדים, יחס ההכנסות וההוצאות של הצדדים – מצדיקים הפחתת מזונות שנקבעו באקראי על ידי בית הדין הרבני" </w:t>
      </w:r>
      <w:r>
        <w:rPr>
          <w:rFonts w:hint="cs"/>
          <w:b/>
          <w:bCs/>
          <w:rtl/>
        </w:rPr>
        <w:t>ראו: ס' 19 לבקשה</w:t>
      </w:r>
      <w:r>
        <w:rPr>
          <w:rFonts w:hint="cs"/>
          <w:rtl/>
        </w:rPr>
        <w:t>.</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המבקש גם "לא יצא מגדרו" בכל הנוגע להוכחת הכנסתו. המבקש אומנם טען כי שכרו מגיע לסך של 11,500 ₪ לחודש ואולם הוא לא צירף תלושי השכר כדי לתמוך בטענה זו.</w:t>
      </w:r>
    </w:p>
    <w:p w:rsidR="00281E17" w:rsidRDefault="00281E17" w:rsidP="00281E17">
      <w:pPr>
        <w:spacing w:line="360" w:lineRule="auto"/>
        <w:jc w:val="both"/>
        <w:rPr>
          <w:rtl/>
        </w:rPr>
      </w:pPr>
    </w:p>
    <w:p w:rsidR="00281E17" w:rsidRDefault="00281E17" w:rsidP="00281E17">
      <w:pPr>
        <w:spacing w:line="360" w:lineRule="auto"/>
        <w:jc w:val="both"/>
        <w:rPr>
          <w:rtl/>
        </w:rPr>
      </w:pPr>
      <w:r>
        <w:rPr>
          <w:rFonts w:hint="cs"/>
          <w:rtl/>
        </w:rPr>
        <w:t xml:space="preserve">במילים אחרות, המבקש לא הניח תשתית עובדתית מספקת לשם בירור הבקשה, ובהעדרה אין יכולת </w:t>
      </w:r>
      <w:r w:rsidRPr="00281E17">
        <w:rPr>
          <w:rFonts w:hint="cs"/>
          <w:rtl/>
        </w:rPr>
        <w:t xml:space="preserve">לבית המשפט לקבוע ממצאים עובדתיים לכאוריים לצורך בירור הבקשה, </w:t>
      </w:r>
      <w:r w:rsidRPr="00281E17">
        <w:rPr>
          <w:rFonts w:hint="cs"/>
          <w:b/>
          <w:bCs/>
          <w:rtl/>
        </w:rPr>
        <w:t>ראו</w:t>
      </w:r>
      <w:r w:rsidRPr="00281E17">
        <w:rPr>
          <w:rFonts w:hint="cs"/>
          <w:rtl/>
        </w:rPr>
        <w:t xml:space="preserve">: </w:t>
      </w:r>
      <w:hyperlink r:id="rId16" w:history="1">
        <w:r w:rsidRPr="00281E17">
          <w:rPr>
            <w:rStyle w:val="Hyperlink"/>
            <w:rFonts w:hint="cs"/>
            <w:color w:val="auto"/>
            <w:u w:val="none"/>
            <w:rtl/>
          </w:rPr>
          <w:t>רמ"ש 1903-02-22</w:t>
        </w:r>
      </w:hyperlink>
      <w:r w:rsidRPr="00281E17">
        <w:rPr>
          <w:rtl/>
        </w:rPr>
        <w:t xml:space="preserve"> </w:t>
      </w:r>
      <w:r w:rsidRPr="00281E17">
        <w:rPr>
          <w:rFonts w:hint="cs"/>
          <w:b/>
          <w:bCs/>
          <w:rtl/>
        </w:rPr>
        <w:t xml:space="preserve">ח' </w:t>
      </w:r>
      <w:r>
        <w:rPr>
          <w:rFonts w:hint="cs"/>
          <w:b/>
          <w:bCs/>
          <w:rtl/>
        </w:rPr>
        <w:t>נ'</w:t>
      </w:r>
      <w:r>
        <w:rPr>
          <w:rFonts w:hint="cs"/>
          <w:rtl/>
        </w:rPr>
        <w:t xml:space="preserve"> </w:t>
      </w:r>
      <w:r>
        <w:rPr>
          <w:rFonts w:hint="cs"/>
          <w:b/>
          <w:bCs/>
          <w:rtl/>
        </w:rPr>
        <w:t xml:space="preserve">ח' </w:t>
      </w:r>
      <w:r>
        <w:rPr>
          <w:rFonts w:hint="cs"/>
          <w:rtl/>
        </w:rPr>
        <w:t xml:space="preserve">(20.03.2022); רמ"ש 47364-02-23 </w:t>
      </w:r>
      <w:r>
        <w:rPr>
          <w:rFonts w:hint="cs"/>
          <w:b/>
          <w:bCs/>
          <w:rtl/>
        </w:rPr>
        <w:t>ב' נ' ב'</w:t>
      </w:r>
      <w:r>
        <w:rPr>
          <w:rFonts w:hint="cs"/>
          <w:rtl/>
        </w:rPr>
        <w:t xml:space="preserve"> (14.5.23),  אין מנוס מדחייתה.</w:t>
      </w:r>
    </w:p>
    <w:p w:rsidR="00281E17" w:rsidRDefault="00281E17" w:rsidP="00281E17">
      <w:pPr>
        <w:spacing w:line="360" w:lineRule="auto"/>
        <w:jc w:val="both"/>
        <w:rPr>
          <w:rtl/>
        </w:rPr>
      </w:pPr>
    </w:p>
    <w:p w:rsidR="00281E17" w:rsidRDefault="00281E17" w:rsidP="007E4F61">
      <w:pPr>
        <w:spacing w:line="360" w:lineRule="auto"/>
        <w:jc w:val="both"/>
        <w:rPr>
          <w:rtl/>
        </w:rPr>
      </w:pPr>
      <w:r>
        <w:rPr>
          <w:rFonts w:hint="cs"/>
          <w:rtl/>
        </w:rPr>
        <w:t>לאור התוצאה, המבקש יישאו בהוצאות משפט בסך של 1,</w:t>
      </w:r>
      <w:r w:rsidR="007E4F61">
        <w:rPr>
          <w:rFonts w:hint="cs"/>
          <w:rtl/>
        </w:rPr>
        <w:t>0</w:t>
      </w:r>
      <w:r>
        <w:rPr>
          <w:rFonts w:hint="cs"/>
          <w:rtl/>
        </w:rPr>
        <w:t xml:space="preserve">00 ₪. </w:t>
      </w:r>
    </w:p>
    <w:p w:rsidR="00281E17" w:rsidRDefault="00281E17" w:rsidP="00281E17">
      <w:pPr>
        <w:spacing w:line="360" w:lineRule="auto"/>
        <w:jc w:val="both"/>
        <w:rPr>
          <w:rtl/>
        </w:rPr>
      </w:pPr>
    </w:p>
    <w:p w:rsidR="00CE7C1D" w:rsidRPr="00E47E97" w:rsidRDefault="00CE7C1D" w:rsidP="00CE7C1D">
      <w:pPr>
        <w:spacing w:line="360" w:lineRule="auto"/>
        <w:jc w:val="both"/>
        <w:rPr>
          <w:b/>
          <w:bCs/>
        </w:rPr>
      </w:pPr>
      <w:r w:rsidRPr="00E47E97">
        <w:rPr>
          <w:rFonts w:ascii="David" w:eastAsia="David" w:hAnsi="David" w:hint="cs"/>
          <w:b/>
          <w:bCs/>
          <w:noProof w:val="0"/>
          <w:rtl/>
        </w:rPr>
        <w:t>מתיר את פרסום ההחלטה לאחר השמטת פרטים מזהים.</w:t>
      </w:r>
    </w:p>
    <w:p w:rsidR="002914D6" w:rsidRPr="00CE7C1D"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כ"ח כסלו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29 דצמבר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703055409"/>
        </w:sdtPr>
        <w:sdtEndPr/>
        <w:sdtContent>
          <w:r w:rsidR="001D4BC8">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81E17">
      <w:headerReference w:type="even" r:id="rId18"/>
      <w:headerReference w:type="default" r:id="rId19"/>
      <w:footerReference w:type="even" r:id="rId20"/>
      <w:footerReference w:type="default" r:id="rId21"/>
      <w:headerReference w:type="first" r:id="rId22"/>
      <w:footerReference w:type="first" r:id="rId23"/>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2E2" w:rsidRDefault="003172E2">
      <w:r>
        <w:separator/>
      </w:r>
    </w:p>
  </w:endnote>
  <w:endnote w:type="continuationSeparator" w:id="0">
    <w:p w:rsidR="003172E2" w:rsidRDefault="0031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05" w:rsidRDefault="00C127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F279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F2796">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05" w:rsidRDefault="00C127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2E2" w:rsidRDefault="003172E2">
      <w:r>
        <w:separator/>
      </w:r>
    </w:p>
  </w:footnote>
  <w:footnote w:type="continuationSeparator" w:id="0">
    <w:p w:rsidR="003172E2" w:rsidRDefault="0031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05" w:rsidRDefault="00C127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29 דצמבר 2024</w:t>
              </w:r>
            </w:p>
          </w:tc>
        </w:sdtContent>
      </w:sdt>
    </w:tr>
    <w:tr w:rsidR="002914D6">
      <w:trPr>
        <w:trHeight w:val="337"/>
        <w:jc w:val="center"/>
      </w:trPr>
      <w:tc>
        <w:tcPr>
          <w:tcW w:w="8721" w:type="dxa"/>
          <w:gridSpan w:val="2"/>
        </w:tcPr>
        <w:p w:rsidR="002914D6" w:rsidRDefault="003172E2" w:rsidP="00CE7C1D">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4153-02-23</w:t>
              </w:r>
            </w:sdtContent>
          </w:sdt>
          <w:r w:rsidR="00011212">
            <w:rPr>
              <w:b/>
              <w:bCs/>
              <w:noProof w:val="0"/>
              <w:sz w:val="26"/>
              <w:szCs w:val="26"/>
              <w:rtl/>
            </w:rPr>
            <w:t xml:space="preserve"> </w:t>
          </w:r>
          <w:sdt>
            <w:sdtPr>
              <w:rPr>
                <w:rtl/>
              </w:rPr>
              <w:alias w:val="1172"/>
              <w:tag w:val="1172"/>
              <w:id w:val="1484202908"/>
              <w:text w:multiLine="1"/>
            </w:sdtPr>
            <w:sdtEndPr/>
            <w:sdtContent>
              <w:r w:rsidR="00CC29C2">
                <w:rPr>
                  <w:b/>
                  <w:bCs/>
                  <w:noProof w:val="0"/>
                  <w:sz w:val="26"/>
                  <w:szCs w:val="26"/>
                  <w:rtl/>
                </w:rPr>
                <w:t>ד</w:t>
              </w:r>
              <w:r w:rsidR="00CE7C1D">
                <w:rPr>
                  <w:rFonts w:hint="cs"/>
                  <w:b/>
                  <w:bCs/>
                  <w:noProof w:val="0"/>
                  <w:sz w:val="26"/>
                  <w:szCs w:val="26"/>
                  <w:rtl/>
                </w:rPr>
                <w:t>.</w:t>
              </w:r>
              <w:r w:rsidR="00CC29C2">
                <w:rPr>
                  <w:b/>
                  <w:bCs/>
                  <w:noProof w:val="0"/>
                  <w:sz w:val="26"/>
                  <w:szCs w:val="26"/>
                  <w:rtl/>
                </w:rPr>
                <w:t xml:space="preserve"> נ' ד</w:t>
              </w:r>
              <w:r w:rsidR="00CE7C1D">
                <w:rPr>
                  <w:rFonts w:hint="cs"/>
                  <w:b/>
                  <w:bCs/>
                  <w:noProof w:val="0"/>
                  <w:sz w:val="26"/>
                  <w:szCs w:val="26"/>
                  <w:rtl/>
                </w:rPr>
                <w:t>.</w:t>
              </w:r>
            </w:sdtContent>
          </w:sdt>
        </w:p>
        <w:p w:rsidR="002914D6" w:rsidRDefault="002914D6">
          <w:pPr>
            <w:rPr>
              <w:rtl/>
            </w:rPr>
          </w:pPr>
        </w:p>
        <w:p w:rsidR="005850F6" w:rsidRDefault="005850F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05" w:rsidRDefault="00C127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623BC4"/>
    <w:multiLevelType w:val="hybridMultilevel"/>
    <w:tmpl w:val="59FA47D2"/>
    <w:lvl w:ilvl="0" w:tplc="9F96E876">
      <w:start w:val="1"/>
      <w:numFmt w:val="hebrew1"/>
      <w:lvlText w:val="%1."/>
      <w:lvlJc w:val="left"/>
      <w:pPr>
        <w:ind w:left="720" w:hanging="360"/>
      </w:pPr>
      <w:rPr>
        <w:rFonts w:ascii="David" w:hAnsi="David"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4058F"/>
    <w:rsid w:val="0019474B"/>
    <w:rsid w:val="001D4BC8"/>
    <w:rsid w:val="00273D47"/>
    <w:rsid w:val="00281E17"/>
    <w:rsid w:val="002856D3"/>
    <w:rsid w:val="002914D6"/>
    <w:rsid w:val="002F33CA"/>
    <w:rsid w:val="002F5307"/>
    <w:rsid w:val="003172E2"/>
    <w:rsid w:val="003A0652"/>
    <w:rsid w:val="004E789F"/>
    <w:rsid w:val="004F4787"/>
    <w:rsid w:val="00530E94"/>
    <w:rsid w:val="005850F6"/>
    <w:rsid w:val="005E66BB"/>
    <w:rsid w:val="00654CE2"/>
    <w:rsid w:val="00791275"/>
    <w:rsid w:val="007E0EA9"/>
    <w:rsid w:val="007E4F61"/>
    <w:rsid w:val="00822AA5"/>
    <w:rsid w:val="00904FA7"/>
    <w:rsid w:val="00921E03"/>
    <w:rsid w:val="009A04C9"/>
    <w:rsid w:val="009C66E1"/>
    <w:rsid w:val="009D1711"/>
    <w:rsid w:val="009F2796"/>
    <w:rsid w:val="00A7661B"/>
    <w:rsid w:val="00B234CE"/>
    <w:rsid w:val="00B31305"/>
    <w:rsid w:val="00C12705"/>
    <w:rsid w:val="00C81C02"/>
    <w:rsid w:val="00CC29C2"/>
    <w:rsid w:val="00CE7C1D"/>
    <w:rsid w:val="00CE7F78"/>
    <w:rsid w:val="00DA714E"/>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281E17"/>
    <w:pPr>
      <w:spacing w:line="254" w:lineRule="auto"/>
      <w:ind w:left="720"/>
      <w:contextualSpacing/>
    </w:pPr>
    <w:rPr>
      <w:rFonts w:ascii="David" w:hAnsi="David" w:cs="Arial"/>
      <w:noProof w:val="0"/>
    </w:rPr>
  </w:style>
  <w:style w:type="character" w:styleId="Hyperlink">
    <w:name w:val="Hyperlink"/>
    <w:basedOn w:val="a0"/>
    <w:uiPriority w:val="99"/>
    <w:semiHidden/>
    <w:unhideWhenUsed/>
    <w:rsid w:val="00281E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377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11016" TargetMode="External"/><Relationship Id="rId13" Type="http://schemas.openxmlformats.org/officeDocument/2006/relationships/hyperlink" Target="http://www.nevo.co.il/case/2003348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evo.co.il/case/30599232" TargetMode="External"/><Relationship Id="rId17" Type="http://schemas.openxmlformats.org/officeDocument/2006/relationships/image" Target="media/image1.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evo.co.il/case/2845291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350678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17932816" TargetMode="External"/><Relationship Id="rId23" Type="http://schemas.openxmlformats.org/officeDocument/2006/relationships/footer" Target="footer3.xml"/><Relationship Id="rId10" Type="http://schemas.openxmlformats.org/officeDocument/2006/relationships/hyperlink" Target="http://www.nevo.co.il/law/7317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evo.co.il/law/73178/3" TargetMode="External"/><Relationship Id="rId14" Type="http://schemas.openxmlformats.org/officeDocument/2006/relationships/hyperlink" Target="http://www.nevo.co.il/case/21510540"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3484</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2025-01-07T09:15:00Z</dcterms:created>
  <dcterms:modified xsi:type="dcterms:W3CDTF">2025-01-07T09:15:00Z</dcterms:modified>
</cp:coreProperties>
</file>